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17713" w14:textId="77777777" w:rsidR="006C6E5E" w:rsidRDefault="006C6E5E" w:rsidP="00CA55AC">
      <w:pPr>
        <w:rPr>
          <w:rFonts w:ascii="Avenir Next" w:hAnsi="Avenir Next"/>
          <w:b/>
          <w:bCs/>
          <w:sz w:val="26"/>
          <w:szCs w:val="26"/>
        </w:rPr>
      </w:pPr>
    </w:p>
    <w:p w14:paraId="3DEAA071" w14:textId="082CEA34" w:rsidR="00CA55AC" w:rsidRPr="00CA55AC" w:rsidRDefault="00CA55AC" w:rsidP="00CA55AC">
      <w:pPr>
        <w:rPr>
          <w:rFonts w:ascii="Avenir Next" w:hAnsi="Avenir Next"/>
          <w:b/>
          <w:bCs/>
          <w:sz w:val="26"/>
          <w:szCs w:val="26"/>
        </w:rPr>
      </w:pPr>
      <w:r w:rsidRPr="00CA55AC">
        <w:rPr>
          <w:rFonts w:ascii="Avenir Next" w:hAnsi="Avenir Next"/>
          <w:b/>
          <w:bCs/>
          <w:sz w:val="26"/>
          <w:szCs w:val="26"/>
        </w:rPr>
        <w:t xml:space="preserve">Freedom of Expression: </w:t>
      </w:r>
    </w:p>
    <w:p w14:paraId="5AB5507F" w14:textId="78DE0F58" w:rsidR="006C6E5E" w:rsidRPr="006C6E5E" w:rsidRDefault="00CA55AC" w:rsidP="00CA55AC">
      <w:pPr>
        <w:rPr>
          <w:rFonts w:ascii="Avenir Next" w:hAnsi="Avenir Next"/>
          <w:b/>
          <w:bCs/>
          <w:sz w:val="26"/>
          <w:szCs w:val="26"/>
        </w:rPr>
      </w:pPr>
      <w:r w:rsidRPr="00CA55AC">
        <w:rPr>
          <w:rFonts w:ascii="Avenir Next" w:hAnsi="Avenir Next"/>
          <w:b/>
          <w:bCs/>
          <w:sz w:val="26"/>
          <w:szCs w:val="26"/>
        </w:rPr>
        <w:t>We the People in the Digital Age</w:t>
      </w:r>
      <w:bookmarkStart w:id="0" w:name="_GoBack"/>
      <w:bookmarkEnd w:id="0"/>
    </w:p>
    <w:p w14:paraId="0BEE723D" w14:textId="516BDF6C" w:rsidR="006C6E5E" w:rsidRDefault="006C6E5E" w:rsidP="006C6E5E">
      <w:pPr>
        <w:jc w:val="right"/>
        <w:rPr>
          <w:rFonts w:ascii="Avenir Next" w:hAnsi="Avenir Next"/>
          <w:sz w:val="22"/>
          <w:szCs w:val="22"/>
        </w:rPr>
      </w:pPr>
      <w:r w:rsidRPr="006C6E5E">
        <w:rPr>
          <w:rFonts w:ascii="Avenir Next" w:hAnsi="Avenir Next"/>
          <w:sz w:val="22"/>
          <w:szCs w:val="22"/>
        </w:rPr>
        <w:drawing>
          <wp:inline distT="0" distB="0" distL="0" distR="0" wp14:anchorId="326722A1" wp14:editId="3A9F9051">
            <wp:extent cx="2906486" cy="1903810"/>
            <wp:effectExtent l="0" t="0" r="1905" b="127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36621" cy="1923549"/>
                    </a:xfrm>
                    <a:prstGeom prst="rect">
                      <a:avLst/>
                    </a:prstGeom>
                  </pic:spPr>
                </pic:pic>
              </a:graphicData>
            </a:graphic>
          </wp:inline>
        </w:drawing>
      </w:r>
    </w:p>
    <w:p w14:paraId="292B9BB0" w14:textId="77777777" w:rsidR="006C6E5E" w:rsidRPr="00CA55AC" w:rsidRDefault="006C6E5E" w:rsidP="00CA55AC">
      <w:pPr>
        <w:rPr>
          <w:rFonts w:ascii="Avenir Next" w:hAnsi="Avenir Next"/>
          <w:sz w:val="22"/>
          <w:szCs w:val="22"/>
        </w:rPr>
      </w:pPr>
    </w:p>
    <w:p w14:paraId="182F139B" w14:textId="77777777" w:rsidR="00CA55AC" w:rsidRPr="00CA55AC" w:rsidRDefault="00CA55AC" w:rsidP="00CA55AC">
      <w:pPr>
        <w:ind w:right="-1080"/>
        <w:rPr>
          <w:rFonts w:ascii="Avenir Next" w:hAnsi="Avenir Next" w:cs="Times New Roman"/>
          <w:sz w:val="22"/>
          <w:szCs w:val="22"/>
        </w:rPr>
      </w:pPr>
      <w:r w:rsidRPr="00CA55AC">
        <w:rPr>
          <w:rFonts w:ascii="Avenir Next" w:hAnsi="Avenir Next" w:cs="Times New Roman"/>
          <w:sz w:val="22"/>
          <w:szCs w:val="22"/>
        </w:rPr>
        <w:t xml:space="preserve">This presentation examines the meaning, scope and challenge of free expression in the American experience.  In this presentation, we provide a series of portraits of people and events that have fully </w:t>
      </w:r>
    </w:p>
    <w:p w14:paraId="610FE98A" w14:textId="77777777" w:rsidR="00CA55AC" w:rsidRPr="00CA55AC" w:rsidRDefault="00CA55AC" w:rsidP="00CA55AC">
      <w:pPr>
        <w:ind w:right="-1080"/>
        <w:rPr>
          <w:rFonts w:ascii="Avenir Next" w:hAnsi="Avenir Next" w:cs="Times New Roman"/>
          <w:sz w:val="22"/>
          <w:szCs w:val="22"/>
        </w:rPr>
      </w:pPr>
      <w:r w:rsidRPr="00CA55AC">
        <w:rPr>
          <w:rFonts w:ascii="Avenir Next" w:hAnsi="Avenir Next" w:cs="Times New Roman"/>
          <w:sz w:val="22"/>
          <w:szCs w:val="22"/>
        </w:rPr>
        <w:t xml:space="preserve">tested the boundaries of the First Amendment from America’s early beginnings to the present day.  </w:t>
      </w:r>
    </w:p>
    <w:p w14:paraId="3A7F30DE" w14:textId="77777777" w:rsidR="00CA55AC" w:rsidRPr="00CA55AC" w:rsidRDefault="00CA55AC" w:rsidP="00CA55AC">
      <w:pPr>
        <w:ind w:right="-1080"/>
        <w:rPr>
          <w:rFonts w:ascii="Avenir Next" w:hAnsi="Avenir Next" w:cs="Times New Roman"/>
          <w:sz w:val="22"/>
          <w:szCs w:val="22"/>
        </w:rPr>
      </w:pPr>
      <w:r w:rsidRPr="00CA55AC">
        <w:rPr>
          <w:rFonts w:ascii="Avenir Next" w:hAnsi="Avenir Next" w:cs="Times New Roman"/>
          <w:sz w:val="22"/>
          <w:szCs w:val="22"/>
        </w:rPr>
        <w:t xml:space="preserve">We the People in 1789 meant something very different than the America of today with its multicultural </w:t>
      </w:r>
    </w:p>
    <w:p w14:paraId="3C829768" w14:textId="77777777" w:rsidR="00CA55AC" w:rsidRPr="00CA55AC" w:rsidRDefault="00CA55AC" w:rsidP="00CA55AC">
      <w:pPr>
        <w:ind w:right="-1080"/>
        <w:rPr>
          <w:rFonts w:ascii="Avenir Next" w:hAnsi="Avenir Next" w:cs="Times New Roman"/>
          <w:sz w:val="22"/>
          <w:szCs w:val="22"/>
        </w:rPr>
      </w:pPr>
      <w:r w:rsidRPr="00CA55AC">
        <w:rPr>
          <w:rFonts w:ascii="Avenir Next" w:hAnsi="Avenir Next" w:cs="Times New Roman"/>
          <w:sz w:val="22"/>
          <w:szCs w:val="22"/>
        </w:rPr>
        <w:t xml:space="preserve">and diverse populations.  Starting with the historical foundations of the Constitution, we examine </w:t>
      </w:r>
    </w:p>
    <w:p w14:paraId="6DAE88C4" w14:textId="77777777" w:rsidR="00CA55AC" w:rsidRDefault="00CA55AC" w:rsidP="00CA55AC">
      <w:pPr>
        <w:ind w:right="-1080"/>
        <w:rPr>
          <w:rFonts w:ascii="Avenir Next" w:hAnsi="Avenir Next" w:cs="Times New Roman"/>
          <w:sz w:val="22"/>
          <w:szCs w:val="22"/>
        </w:rPr>
      </w:pPr>
      <w:r w:rsidRPr="00CA55AC">
        <w:rPr>
          <w:rFonts w:ascii="Avenir Next" w:hAnsi="Avenir Next" w:cs="Times New Roman"/>
          <w:sz w:val="22"/>
          <w:szCs w:val="22"/>
        </w:rPr>
        <w:t xml:space="preserve">how the courts, writers, politicians, social activists and artists have interpreted and applied these </w:t>
      </w:r>
    </w:p>
    <w:p w14:paraId="57CD9411" w14:textId="77777777" w:rsidR="00CA55AC" w:rsidRDefault="00CA55AC" w:rsidP="00CA55AC">
      <w:pPr>
        <w:ind w:right="-1080"/>
        <w:rPr>
          <w:rFonts w:ascii="Avenir Next" w:hAnsi="Avenir Next" w:cs="Times New Roman"/>
          <w:sz w:val="22"/>
          <w:szCs w:val="22"/>
        </w:rPr>
      </w:pPr>
      <w:r w:rsidRPr="00CA55AC">
        <w:rPr>
          <w:rFonts w:ascii="Avenir Next" w:hAnsi="Avenir Next" w:cs="Times New Roman"/>
          <w:sz w:val="22"/>
          <w:szCs w:val="22"/>
        </w:rPr>
        <w:t xml:space="preserve">rights to the challenges associated with free expression.  Special attention is given to a number </w:t>
      </w:r>
    </w:p>
    <w:p w14:paraId="598BF42B" w14:textId="02A0A6B4" w:rsidR="00CA55AC" w:rsidRPr="00CA55AC" w:rsidRDefault="00CA55AC" w:rsidP="00CA55AC">
      <w:pPr>
        <w:ind w:right="-1080"/>
        <w:rPr>
          <w:rFonts w:ascii="Avenir Next" w:hAnsi="Avenir Next" w:cs="Times New Roman"/>
          <w:sz w:val="22"/>
          <w:szCs w:val="22"/>
        </w:rPr>
      </w:pPr>
      <w:r w:rsidRPr="00CA55AC">
        <w:rPr>
          <w:rFonts w:ascii="Avenir Next" w:hAnsi="Avenir Next" w:cs="Times New Roman"/>
          <w:sz w:val="22"/>
          <w:szCs w:val="22"/>
        </w:rPr>
        <w:t>of</w:t>
      </w:r>
      <w:r>
        <w:rPr>
          <w:rFonts w:ascii="Avenir Next" w:hAnsi="Avenir Next" w:cs="Times New Roman"/>
          <w:sz w:val="22"/>
          <w:szCs w:val="22"/>
        </w:rPr>
        <w:t xml:space="preserve"> </w:t>
      </w:r>
      <w:r w:rsidRPr="00CA55AC">
        <w:rPr>
          <w:rFonts w:ascii="Avenir Next" w:hAnsi="Avenir Next" w:cs="Times New Roman"/>
          <w:sz w:val="22"/>
          <w:szCs w:val="22"/>
        </w:rPr>
        <w:t>timely</w:t>
      </w:r>
      <w:r>
        <w:rPr>
          <w:rFonts w:ascii="Avenir Next" w:hAnsi="Avenir Next" w:cs="Times New Roman"/>
          <w:sz w:val="22"/>
          <w:szCs w:val="22"/>
        </w:rPr>
        <w:t xml:space="preserve"> </w:t>
      </w:r>
      <w:r w:rsidRPr="00CA55AC">
        <w:rPr>
          <w:rFonts w:ascii="Avenir Next" w:hAnsi="Avenir Next" w:cs="Times New Roman"/>
          <w:sz w:val="22"/>
          <w:szCs w:val="22"/>
        </w:rPr>
        <w:t xml:space="preserve">and engaging topics such as prior restraint, political and social activism, the right to receive information, creative expression, due process and symbolic speech.  </w:t>
      </w:r>
    </w:p>
    <w:p w14:paraId="69230AA8" w14:textId="77777777" w:rsidR="00CA55AC" w:rsidRPr="00CA55AC" w:rsidRDefault="00CA55AC" w:rsidP="00CA55AC">
      <w:pPr>
        <w:ind w:right="-1080"/>
        <w:rPr>
          <w:rFonts w:ascii="Avenir Next" w:hAnsi="Avenir Next" w:cs="Times New Roman"/>
          <w:sz w:val="22"/>
          <w:szCs w:val="22"/>
        </w:rPr>
      </w:pPr>
    </w:p>
    <w:p w14:paraId="5DEA49B0" w14:textId="3826CFF4" w:rsidR="00CA55AC" w:rsidRDefault="00CA55AC" w:rsidP="00CA55AC">
      <w:pPr>
        <w:ind w:right="-450"/>
        <w:rPr>
          <w:rFonts w:ascii="Avenir Next" w:hAnsi="Avenir Next" w:cs="Times New Roman"/>
          <w:color w:val="000000" w:themeColor="text1"/>
          <w:sz w:val="22"/>
          <w:szCs w:val="22"/>
        </w:rPr>
      </w:pPr>
      <w:r w:rsidRPr="00CA55AC">
        <w:rPr>
          <w:rFonts w:ascii="Avenir Next" w:eastAsiaTheme="minorEastAsia" w:hAnsi="Avenir Next" w:cs="Times New Roman"/>
          <w:sz w:val="22"/>
          <w:szCs w:val="22"/>
        </w:rPr>
        <w:t xml:space="preserve">America’s Constitutional founders would have been </w:t>
      </w:r>
      <w:r w:rsidRPr="00CA55AC">
        <w:rPr>
          <w:rFonts w:ascii="Avenir Next" w:hAnsi="Avenir Next" w:cs="Times New Roman"/>
          <w:sz w:val="22"/>
          <w:szCs w:val="22"/>
        </w:rPr>
        <w:t xml:space="preserve">unable to picture a digital future where </w:t>
      </w:r>
      <w:r w:rsidRPr="00CA55AC">
        <w:rPr>
          <w:rFonts w:ascii="Avenir Next" w:hAnsi="Avenir Next" w:cs="Times New Roman"/>
          <w:color w:val="000000" w:themeColor="text1"/>
          <w:sz w:val="22"/>
          <w:szCs w:val="22"/>
        </w:rPr>
        <w:t xml:space="preserve">social media platforms such as Facebook, Twitter and You Tube have the power to mobilize and organize </w:t>
      </w:r>
      <w:r w:rsidRPr="00CA55AC">
        <w:rPr>
          <w:rFonts w:ascii="Avenir Next" w:hAnsi="Avenir Next" w:cs="Times New Roman"/>
          <w:i/>
          <w:iCs/>
          <w:color w:val="000000" w:themeColor="text1"/>
          <w:sz w:val="22"/>
          <w:szCs w:val="22"/>
        </w:rPr>
        <w:t>we the people</w:t>
      </w:r>
      <w:r w:rsidRPr="00CA55AC">
        <w:rPr>
          <w:rFonts w:ascii="Avenir Next" w:hAnsi="Avenir Next" w:cs="Times New Roman"/>
          <w:color w:val="000000" w:themeColor="text1"/>
          <w:sz w:val="22"/>
          <w:szCs w:val="22"/>
        </w:rPr>
        <w:t xml:space="preserve"> to a common cause.  W</w:t>
      </w:r>
      <w:r w:rsidRPr="00CA55AC">
        <w:rPr>
          <w:rFonts w:ascii="Avenir Next" w:eastAsiaTheme="minorEastAsia" w:hAnsi="Avenir Next" w:cs="Times New Roman"/>
          <w:sz w:val="22"/>
          <w:szCs w:val="22"/>
        </w:rPr>
        <w:t xml:space="preserve">hen things go viral on the Internet, the results can be immediate and explosive.  </w:t>
      </w:r>
      <w:r w:rsidRPr="00CA55AC">
        <w:rPr>
          <w:rFonts w:ascii="Avenir Next" w:hAnsi="Avenir Next" w:cs="Times New Roman"/>
          <w:color w:val="000000" w:themeColor="text1"/>
          <w:sz w:val="22"/>
          <w:szCs w:val="22"/>
        </w:rPr>
        <w:t xml:space="preserve">For two months following the police killing of George Floyd, the rallying cry of Black Lives matter was mentioned more than 80 million times on Facebook, Twitter, Reddit as well as various blogs and commentary.  </w:t>
      </w:r>
      <w:r>
        <w:rPr>
          <w:rFonts w:ascii="Avenir Next" w:hAnsi="Avenir Next" w:cs="Times New Roman"/>
          <w:color w:val="000000" w:themeColor="text1"/>
          <w:sz w:val="22"/>
          <w:szCs w:val="22"/>
        </w:rPr>
        <w:t>Digital media has heightened the power and</w:t>
      </w:r>
    </w:p>
    <w:p w14:paraId="5CE74A06" w14:textId="77777777" w:rsidR="00CA55AC" w:rsidRDefault="00CA55AC" w:rsidP="00CA55AC">
      <w:pPr>
        <w:ind w:right="-450"/>
        <w:rPr>
          <w:rFonts w:ascii="Avenir Next" w:hAnsi="Avenir Next" w:cs="Times New Roman"/>
          <w:sz w:val="22"/>
          <w:szCs w:val="22"/>
        </w:rPr>
      </w:pPr>
      <w:r>
        <w:rPr>
          <w:rFonts w:ascii="Avenir Next" w:hAnsi="Avenir Next" w:cs="Times New Roman"/>
          <w:color w:val="000000" w:themeColor="text1"/>
          <w:sz w:val="22"/>
          <w:szCs w:val="22"/>
        </w:rPr>
        <w:t xml:space="preserve">influence of symbolic communication.  Consider, for example, </w:t>
      </w:r>
      <w:r w:rsidRPr="00CA55AC">
        <w:rPr>
          <w:rFonts w:ascii="Avenir Next" w:hAnsi="Avenir Next" w:cs="Times New Roman"/>
          <w:sz w:val="22"/>
          <w:szCs w:val="22"/>
        </w:rPr>
        <w:t xml:space="preserve">the symbolic implications for </w:t>
      </w:r>
    </w:p>
    <w:p w14:paraId="4267D283" w14:textId="300FA385" w:rsidR="00CA55AC" w:rsidRPr="00CA55AC" w:rsidRDefault="00CA55AC" w:rsidP="00CA55AC">
      <w:pPr>
        <w:ind w:right="-450"/>
        <w:rPr>
          <w:rFonts w:ascii="Avenir Next" w:hAnsi="Avenir Next" w:cs="Times New Roman"/>
          <w:color w:val="000000" w:themeColor="text1"/>
          <w:sz w:val="22"/>
          <w:szCs w:val="22"/>
        </w:rPr>
      </w:pPr>
      <w:r w:rsidRPr="00CA55AC">
        <w:rPr>
          <w:rFonts w:ascii="Avenir Next" w:hAnsi="Avenir Next" w:cs="Times New Roman"/>
          <w:sz w:val="22"/>
          <w:szCs w:val="22"/>
        </w:rPr>
        <w:t>NFL San Francisco 49’ers quarterback Collin Kaepernick who during the 2016 season knelt during the playing of the national anthem as a sign of political protest against what he perceived as police brutality and racial inequality.  It was a Rosa Parks moment that created a momentum that is now being played out in a variety of professional and collegiate athletic venues all across America.</w:t>
      </w:r>
      <w:r>
        <w:rPr>
          <w:rFonts w:ascii="Avenir Next" w:hAnsi="Avenir Next" w:cs="Times New Roman"/>
          <w:sz w:val="22"/>
          <w:szCs w:val="22"/>
        </w:rPr>
        <w:t xml:space="preserve">  </w:t>
      </w:r>
      <w:r w:rsidRPr="00CA55AC">
        <w:rPr>
          <w:rFonts w:ascii="Avenir Next" w:hAnsi="Avenir Next" w:cs="Times New Roman"/>
          <w:color w:val="000000" w:themeColor="text1"/>
          <w:sz w:val="22"/>
          <w:szCs w:val="22"/>
        </w:rPr>
        <w:t>Speed, mobility, immediacy and personalization are the watchwords of the digital age.  They are new lingua franca of communication</w:t>
      </w:r>
      <w:r>
        <w:rPr>
          <w:rFonts w:ascii="Avenir Next" w:hAnsi="Avenir Next" w:cs="Times New Roman"/>
          <w:color w:val="000000" w:themeColor="text1"/>
          <w:sz w:val="22"/>
          <w:szCs w:val="22"/>
        </w:rPr>
        <w:t>.</w:t>
      </w:r>
    </w:p>
    <w:p w14:paraId="73EA61D5" w14:textId="77777777" w:rsidR="00014E94" w:rsidRDefault="00014E94"/>
    <w:sectPr w:rsidR="00014E94" w:rsidSect="008D2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AC"/>
    <w:rsid w:val="00014E94"/>
    <w:rsid w:val="006C6E5E"/>
    <w:rsid w:val="008D2DED"/>
    <w:rsid w:val="00CA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83D342"/>
  <w15:chartTrackingRefBased/>
  <w15:docId w15:val="{AB5A2362-0783-1C46-9A5D-127DF4E0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 Gershon</dc:creator>
  <cp:keywords/>
  <dc:description/>
  <cp:lastModifiedBy>Richard A Gershon</cp:lastModifiedBy>
  <cp:revision>2</cp:revision>
  <dcterms:created xsi:type="dcterms:W3CDTF">2020-09-29T20:49:00Z</dcterms:created>
  <dcterms:modified xsi:type="dcterms:W3CDTF">2020-09-29T21:04:00Z</dcterms:modified>
</cp:coreProperties>
</file>